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126"/>
        <w:gridCol w:w="142"/>
        <w:gridCol w:w="2835"/>
      </w:tblGrid>
      <w:tr w:rsidR="002F5C5E" w:rsidRPr="009E2B84" w14:paraId="0699C095" w14:textId="77777777" w:rsidTr="0047741D">
        <w:trPr>
          <w:gridAfter w:val="1"/>
          <w:wAfter w:w="2835" w:type="dxa"/>
          <w:cantSplit/>
          <w:trHeight w:val="569"/>
        </w:trPr>
        <w:tc>
          <w:tcPr>
            <w:tcW w:w="4786" w:type="dxa"/>
            <w:shd w:val="clear" w:color="auto" w:fill="BFBFBF"/>
            <w:vAlign w:val="center"/>
          </w:tcPr>
          <w:p w14:paraId="0699C093" w14:textId="77777777" w:rsidR="002F5C5E" w:rsidRPr="009E2B84" w:rsidRDefault="00922763" w:rsidP="00AC4A99">
            <w:pPr>
              <w:keepNext/>
              <w:shd w:val="clear" w:color="auto" w:fill="BFBFBF"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 wp14:anchorId="0699C126" wp14:editId="0699C127">
                  <wp:simplePos x="0" y="0"/>
                  <wp:positionH relativeFrom="column">
                    <wp:posOffset>4766310</wp:posOffset>
                  </wp:positionH>
                  <wp:positionV relativeFrom="paragraph">
                    <wp:posOffset>-80010</wp:posOffset>
                  </wp:positionV>
                  <wp:extent cx="1463040" cy="1215390"/>
                  <wp:effectExtent l="0" t="0" r="3810" b="381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15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C5E" w:rsidRPr="009E2B84">
              <w:rPr>
                <w:b/>
              </w:rPr>
              <w:t>REPORT</w:t>
            </w:r>
            <w:r w:rsidR="00FF4999">
              <w:rPr>
                <w:b/>
              </w:rPr>
              <w:t xml:space="preserve"> TO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0699C094" w14:textId="77777777" w:rsidR="002F5C5E" w:rsidRPr="009E2B84" w:rsidRDefault="002F5C5E" w:rsidP="00AC4A99">
            <w:pPr>
              <w:jc w:val="center"/>
              <w:rPr>
                <w:b/>
              </w:rPr>
            </w:pPr>
            <w:r w:rsidRPr="009E2B84">
              <w:rPr>
                <w:b/>
              </w:rPr>
              <w:t>ON</w:t>
            </w:r>
          </w:p>
        </w:tc>
      </w:tr>
      <w:tr w:rsidR="002F5C5E" w:rsidRPr="009E2B84" w14:paraId="0699C098" w14:textId="77777777" w:rsidTr="0047741D">
        <w:trPr>
          <w:gridAfter w:val="1"/>
          <w:wAfter w:w="2835" w:type="dxa"/>
          <w:cantSplit/>
          <w:trHeight w:val="654"/>
        </w:trPr>
        <w:tc>
          <w:tcPr>
            <w:tcW w:w="4786" w:type="dxa"/>
            <w:tcBorders>
              <w:bottom w:val="nil"/>
            </w:tcBorders>
            <w:vAlign w:val="center"/>
          </w:tcPr>
          <w:p w14:paraId="0699C096" w14:textId="77777777" w:rsidR="002F5C5E" w:rsidRPr="009E2B84" w:rsidRDefault="007571AF" w:rsidP="00D10F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Council 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0699C097" w14:textId="77777777" w:rsidR="002F5C5E" w:rsidRPr="009E2B84" w:rsidRDefault="007571AF" w:rsidP="0047741D">
            <w:pPr>
              <w:jc w:val="center"/>
              <w:rPr>
                <w:b/>
              </w:rPr>
            </w:pPr>
            <w:r>
              <w:rPr>
                <w:b/>
              </w:rPr>
              <w:t>17 May 2018</w:t>
            </w:r>
          </w:p>
        </w:tc>
      </w:tr>
      <w:tr w:rsidR="002F5C5E" w:rsidRPr="009E2B84" w14:paraId="0699C09A" w14:textId="77777777" w:rsidTr="0047741D">
        <w:trPr>
          <w:gridAfter w:val="1"/>
          <w:wAfter w:w="2835" w:type="dxa"/>
          <w:cantSplit/>
          <w:trHeight w:val="560"/>
        </w:trPr>
        <w:tc>
          <w:tcPr>
            <w:tcW w:w="7054" w:type="dxa"/>
            <w:gridSpan w:val="3"/>
            <w:tcBorders>
              <w:left w:val="nil"/>
              <w:right w:val="nil"/>
            </w:tcBorders>
          </w:tcPr>
          <w:p w14:paraId="0699C099" w14:textId="77777777" w:rsidR="002F5C5E" w:rsidRPr="009E2B84" w:rsidRDefault="00F67F95" w:rsidP="003902A2">
            <w:pPr>
              <w:jc w:val="right"/>
              <w:rPr>
                <w:sz w:val="8"/>
              </w:rPr>
            </w:pPr>
            <w:r>
              <w:rPr>
                <w:sz w:val="8"/>
              </w:rPr>
              <w:t xml:space="preserve">September </w:t>
            </w:r>
            <w:r w:rsidR="002F5C5E" w:rsidRPr="009E2B84">
              <w:rPr>
                <w:sz w:val="8"/>
              </w:rPr>
              <w:t>2017</w:t>
            </w:r>
          </w:p>
        </w:tc>
      </w:tr>
      <w:tr w:rsidR="0047741D" w:rsidRPr="009E2B84" w14:paraId="0699C09D" w14:textId="77777777" w:rsidTr="0047741D">
        <w:trPr>
          <w:cantSplit/>
        </w:trPr>
        <w:tc>
          <w:tcPr>
            <w:tcW w:w="6912" w:type="dxa"/>
            <w:gridSpan w:val="2"/>
            <w:shd w:val="clear" w:color="auto" w:fill="BFBFBF"/>
            <w:vAlign w:val="center"/>
          </w:tcPr>
          <w:p w14:paraId="0699C09B" w14:textId="77777777" w:rsidR="0047741D" w:rsidRPr="009E2B84" w:rsidRDefault="0047741D" w:rsidP="00E2196F">
            <w:pPr>
              <w:jc w:val="center"/>
              <w:rPr>
                <w:b/>
              </w:rPr>
            </w:pPr>
            <w:r w:rsidRPr="009E2B84">
              <w:rPr>
                <w:b/>
              </w:rPr>
              <w:t>TITLE</w:t>
            </w:r>
          </w:p>
        </w:tc>
        <w:tc>
          <w:tcPr>
            <w:tcW w:w="2977" w:type="dxa"/>
            <w:gridSpan w:val="2"/>
            <w:shd w:val="clear" w:color="auto" w:fill="BFBFBF"/>
            <w:vAlign w:val="center"/>
          </w:tcPr>
          <w:p w14:paraId="0699C09C" w14:textId="77777777" w:rsidR="0047741D" w:rsidRPr="009E2B84" w:rsidRDefault="0047741D" w:rsidP="00E2196F">
            <w:pPr>
              <w:jc w:val="center"/>
              <w:rPr>
                <w:b/>
              </w:rPr>
            </w:pPr>
            <w:r>
              <w:rPr>
                <w:b/>
              </w:rPr>
              <w:t>REPORT OF</w:t>
            </w:r>
          </w:p>
        </w:tc>
      </w:tr>
      <w:tr w:rsidR="0047741D" w:rsidRPr="009E2B84" w14:paraId="0699C0A2" w14:textId="77777777" w:rsidTr="0047741D">
        <w:trPr>
          <w:cantSplit/>
          <w:trHeight w:val="667"/>
        </w:trPr>
        <w:tc>
          <w:tcPr>
            <w:tcW w:w="6912" w:type="dxa"/>
            <w:gridSpan w:val="2"/>
            <w:vAlign w:val="center"/>
          </w:tcPr>
          <w:p w14:paraId="0699C09E" w14:textId="77777777" w:rsidR="007571AF" w:rsidRDefault="007571AF" w:rsidP="00352AB7">
            <w:pPr>
              <w:rPr>
                <w:b/>
              </w:rPr>
            </w:pPr>
          </w:p>
          <w:p w14:paraId="0699C09F" w14:textId="77777777" w:rsidR="0047741D" w:rsidRDefault="007571AF" w:rsidP="00352AB7">
            <w:pPr>
              <w:rPr>
                <w:b/>
              </w:rPr>
            </w:pPr>
            <w:r>
              <w:rPr>
                <w:b/>
              </w:rPr>
              <w:t>Licensing Annual Report 2017/18</w:t>
            </w:r>
          </w:p>
          <w:p w14:paraId="0699C0A0" w14:textId="77777777" w:rsidR="00352AB7" w:rsidRPr="009E2B84" w:rsidRDefault="00352AB7" w:rsidP="00352AB7">
            <w:pPr>
              <w:rPr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699C0A1" w14:textId="77777777" w:rsidR="0047741D" w:rsidRPr="00352AB7" w:rsidRDefault="00922763" w:rsidP="00E2196F">
            <w:pPr>
              <w:jc w:val="center"/>
              <w:rPr>
                <w:b/>
              </w:rPr>
            </w:pPr>
            <w:r>
              <w:rPr>
                <w:b/>
              </w:rPr>
              <w:t>Specialist Consultant</w:t>
            </w:r>
          </w:p>
        </w:tc>
      </w:tr>
    </w:tbl>
    <w:p w14:paraId="0699C0A3" w14:textId="77777777" w:rsidR="002F5C5E" w:rsidRPr="009E2B84" w:rsidRDefault="002F5C5E" w:rsidP="002F5C5E"/>
    <w:p w14:paraId="0699C0A4" w14:textId="77777777" w:rsidR="002F5C5E" w:rsidRDefault="002F5C5E" w:rsidP="002F5C5E">
      <w:pPr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3266"/>
      </w:tblGrid>
      <w:tr w:rsidR="0047741D" w:rsidRPr="009C1143" w14:paraId="0699C0AA" w14:textId="77777777" w:rsidTr="00E2196F">
        <w:tc>
          <w:tcPr>
            <w:tcW w:w="6652" w:type="dxa"/>
            <w:shd w:val="clear" w:color="auto" w:fill="auto"/>
          </w:tcPr>
          <w:p w14:paraId="0699C0A5" w14:textId="77777777" w:rsidR="0047741D" w:rsidRDefault="0047741D" w:rsidP="00E2196F">
            <w:pPr>
              <w:rPr>
                <w:szCs w:val="22"/>
              </w:rPr>
            </w:pPr>
          </w:p>
          <w:p w14:paraId="0699C0A6" w14:textId="77777777" w:rsidR="0047741D" w:rsidRPr="009C1143" w:rsidRDefault="0047741D" w:rsidP="00E2196F">
            <w:pPr>
              <w:rPr>
                <w:szCs w:val="22"/>
              </w:rPr>
            </w:pPr>
            <w:r>
              <w:rPr>
                <w:szCs w:val="22"/>
              </w:rPr>
              <w:t>Is this report confidential?</w:t>
            </w:r>
          </w:p>
        </w:tc>
        <w:tc>
          <w:tcPr>
            <w:tcW w:w="3266" w:type="dxa"/>
            <w:shd w:val="clear" w:color="auto" w:fill="auto"/>
          </w:tcPr>
          <w:p w14:paraId="0699C0A7" w14:textId="77777777" w:rsidR="00352AB7" w:rsidRDefault="00352AB7" w:rsidP="00E2196F">
            <w:pPr>
              <w:rPr>
                <w:b/>
                <w:szCs w:val="22"/>
              </w:rPr>
            </w:pPr>
          </w:p>
          <w:p w14:paraId="0699C0A8" w14:textId="77777777" w:rsidR="0047741D" w:rsidRPr="009C1143" w:rsidRDefault="0047741D" w:rsidP="00E2196F">
            <w:pPr>
              <w:rPr>
                <w:i/>
                <w:color w:val="0070C0"/>
                <w:szCs w:val="22"/>
              </w:rPr>
            </w:pPr>
            <w:r w:rsidRPr="00F3057A">
              <w:rPr>
                <w:b/>
                <w:szCs w:val="22"/>
              </w:rPr>
              <w:t xml:space="preserve">No </w:t>
            </w:r>
          </w:p>
          <w:p w14:paraId="0699C0A9" w14:textId="77777777" w:rsidR="0047741D" w:rsidRPr="009C1143" w:rsidRDefault="0047741D" w:rsidP="00E2196F">
            <w:pPr>
              <w:rPr>
                <w:szCs w:val="22"/>
              </w:rPr>
            </w:pPr>
          </w:p>
        </w:tc>
      </w:tr>
    </w:tbl>
    <w:p w14:paraId="0699C0AB" w14:textId="77777777" w:rsidR="0047741D" w:rsidRDefault="0047741D" w:rsidP="002F5C5E">
      <w:pPr>
        <w:rPr>
          <w:sz w:val="16"/>
          <w:szCs w:val="16"/>
        </w:rPr>
      </w:pPr>
    </w:p>
    <w:p w14:paraId="0699C0AC" w14:textId="77777777" w:rsidR="00EB2D32" w:rsidRPr="009C1143" w:rsidRDefault="00EB2D32" w:rsidP="002F5C5E">
      <w:pPr>
        <w:rPr>
          <w:sz w:val="16"/>
          <w:szCs w:val="16"/>
        </w:rPr>
      </w:pPr>
    </w:p>
    <w:p w14:paraId="0699C0AD" w14:textId="77777777" w:rsidR="002F5C5E" w:rsidRPr="009C1143" w:rsidRDefault="002F5C5E" w:rsidP="002F5C5E">
      <w:pPr>
        <w:keepNext/>
        <w:numPr>
          <w:ilvl w:val="0"/>
          <w:numId w:val="8"/>
        </w:numPr>
        <w:outlineLvl w:val="0"/>
        <w:rPr>
          <w:b/>
          <w:szCs w:val="22"/>
        </w:rPr>
      </w:pPr>
      <w:r w:rsidRPr="009C1143">
        <w:rPr>
          <w:b/>
          <w:szCs w:val="22"/>
        </w:rPr>
        <w:t xml:space="preserve">PURPOSE OF THE REPORT  </w:t>
      </w:r>
    </w:p>
    <w:p w14:paraId="0699C0AE" w14:textId="77777777" w:rsidR="00352AB7" w:rsidRDefault="00352AB7" w:rsidP="002F5C5E">
      <w:pPr>
        <w:keepNext/>
        <w:ind w:left="360"/>
        <w:outlineLvl w:val="0"/>
        <w:rPr>
          <w:i/>
          <w:color w:val="2E74B5"/>
          <w:szCs w:val="22"/>
        </w:rPr>
      </w:pPr>
    </w:p>
    <w:p w14:paraId="0699C0AF" w14:textId="77777777" w:rsidR="002F5C5E" w:rsidRPr="00352AB7" w:rsidRDefault="00352AB7" w:rsidP="002F5C5E">
      <w:pPr>
        <w:keepNext/>
        <w:ind w:left="360"/>
        <w:outlineLvl w:val="0"/>
        <w:rPr>
          <w:szCs w:val="22"/>
        </w:rPr>
      </w:pPr>
      <w:r w:rsidRPr="00352AB7">
        <w:rPr>
          <w:szCs w:val="22"/>
        </w:rPr>
        <w:t>The purpose of this report is to present to mem</w:t>
      </w:r>
      <w:r w:rsidR="007571AF">
        <w:rPr>
          <w:szCs w:val="22"/>
        </w:rPr>
        <w:t xml:space="preserve">bers </w:t>
      </w:r>
      <w:r w:rsidRPr="00352AB7">
        <w:rPr>
          <w:szCs w:val="22"/>
        </w:rPr>
        <w:t>the Licensing Section’s Annual Report for 2017/18.</w:t>
      </w:r>
      <w:r w:rsidR="007571AF">
        <w:rPr>
          <w:szCs w:val="22"/>
        </w:rPr>
        <w:t xml:space="preserve"> The report was considered by the General Licensing Committee on 10 April 2018 and it was agreed that it be submitted to the Council for consideration.</w:t>
      </w:r>
    </w:p>
    <w:p w14:paraId="0699C0B0" w14:textId="77777777" w:rsidR="002F5C5E" w:rsidRPr="009C1143" w:rsidRDefault="002F5C5E" w:rsidP="002F5C5E">
      <w:pPr>
        <w:rPr>
          <w:sz w:val="16"/>
          <w:szCs w:val="16"/>
        </w:rPr>
      </w:pPr>
    </w:p>
    <w:p w14:paraId="0699C0B1" w14:textId="77777777" w:rsidR="002F5C5E" w:rsidRPr="009C1143" w:rsidRDefault="002F5C5E" w:rsidP="002F5C5E">
      <w:pPr>
        <w:rPr>
          <w:szCs w:val="22"/>
        </w:rPr>
      </w:pPr>
    </w:p>
    <w:p w14:paraId="0699C0B2" w14:textId="77777777" w:rsidR="002F5C5E" w:rsidRPr="009C1143" w:rsidRDefault="002F5C5E" w:rsidP="002F5C5E">
      <w:pPr>
        <w:keepNext/>
        <w:numPr>
          <w:ilvl w:val="0"/>
          <w:numId w:val="8"/>
        </w:numPr>
        <w:outlineLvl w:val="0"/>
        <w:rPr>
          <w:b/>
          <w:szCs w:val="22"/>
        </w:rPr>
      </w:pPr>
      <w:r w:rsidRPr="009C1143">
        <w:rPr>
          <w:b/>
          <w:szCs w:val="22"/>
        </w:rPr>
        <w:t>RECOMMENDATIONS</w:t>
      </w:r>
    </w:p>
    <w:p w14:paraId="0699C0B3" w14:textId="77777777" w:rsidR="00352AB7" w:rsidRDefault="00352AB7" w:rsidP="00352AB7">
      <w:pPr>
        <w:ind w:left="360"/>
        <w:rPr>
          <w:szCs w:val="22"/>
        </w:rPr>
      </w:pPr>
    </w:p>
    <w:p w14:paraId="0699C0B4" w14:textId="77777777" w:rsidR="00352AB7" w:rsidRDefault="007571AF" w:rsidP="0021072F">
      <w:pPr>
        <w:rPr>
          <w:i/>
          <w:color w:val="2E74B5"/>
          <w:szCs w:val="22"/>
        </w:rPr>
      </w:pPr>
      <w:r>
        <w:rPr>
          <w:szCs w:val="22"/>
        </w:rPr>
        <w:t>Council is requested to note the content of the Licensing Annual Report 2017/18</w:t>
      </w:r>
    </w:p>
    <w:p w14:paraId="0699C0B5" w14:textId="77777777" w:rsidR="002F5C5E" w:rsidRDefault="002F5C5E" w:rsidP="002F5C5E">
      <w:pPr>
        <w:rPr>
          <w:szCs w:val="22"/>
        </w:rPr>
      </w:pPr>
    </w:p>
    <w:p w14:paraId="0699C0B6" w14:textId="77777777" w:rsidR="007571AF" w:rsidRPr="009C1143" w:rsidRDefault="007571AF" w:rsidP="002F5C5E">
      <w:pPr>
        <w:rPr>
          <w:szCs w:val="22"/>
        </w:rPr>
      </w:pPr>
    </w:p>
    <w:p w14:paraId="0699C0B7" w14:textId="77777777" w:rsidR="002F5C5E" w:rsidRDefault="002F5C5E" w:rsidP="007571AF">
      <w:pPr>
        <w:keepNext/>
        <w:numPr>
          <w:ilvl w:val="0"/>
          <w:numId w:val="8"/>
        </w:numPr>
        <w:outlineLvl w:val="0"/>
        <w:rPr>
          <w:b/>
          <w:szCs w:val="22"/>
        </w:rPr>
      </w:pPr>
      <w:r w:rsidRPr="009C1143">
        <w:rPr>
          <w:b/>
          <w:szCs w:val="22"/>
        </w:rPr>
        <w:t>CORPORATE PRIORITIES</w:t>
      </w:r>
    </w:p>
    <w:p w14:paraId="0699C0B8" w14:textId="77777777" w:rsidR="00F50D33" w:rsidRDefault="00F50D33" w:rsidP="00F50D33">
      <w:pPr>
        <w:keepNext/>
        <w:outlineLvl w:val="0"/>
        <w:rPr>
          <w:b/>
          <w:szCs w:val="22"/>
        </w:rPr>
      </w:pPr>
    </w:p>
    <w:p w14:paraId="0699C0B9" w14:textId="77777777" w:rsidR="00F50D33" w:rsidRPr="009C1143" w:rsidRDefault="00F50D33" w:rsidP="00F50D33">
      <w:pPr>
        <w:keepNext/>
        <w:outlineLvl w:val="0"/>
        <w:rPr>
          <w:b/>
          <w:szCs w:val="22"/>
        </w:rPr>
      </w:pPr>
      <w:r w:rsidRPr="009C1143">
        <w:rPr>
          <w:szCs w:val="22"/>
        </w:rPr>
        <w:t>The report relates to the following corporate priorities</w:t>
      </w:r>
      <w:r>
        <w:rPr>
          <w:b/>
          <w:szCs w:val="22"/>
        </w:rPr>
        <w:t>:</w:t>
      </w:r>
    </w:p>
    <w:p w14:paraId="0699C0BA" w14:textId="77777777" w:rsidR="00F50D33" w:rsidRDefault="00F50D33" w:rsidP="00F50D33">
      <w:pPr>
        <w:rPr>
          <w:szCs w:val="22"/>
        </w:rPr>
      </w:pPr>
    </w:p>
    <w:p w14:paraId="0699C0BB" w14:textId="77777777" w:rsidR="00F50D33" w:rsidRDefault="00F50D33" w:rsidP="00F50D33">
      <w:pPr>
        <w:rPr>
          <w:rFonts w:ascii="Calibri" w:hAnsi="Calibri"/>
        </w:rPr>
      </w:pPr>
    </w:p>
    <w:tbl>
      <w:tblPr>
        <w:tblW w:w="5273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3"/>
        <w:gridCol w:w="850"/>
      </w:tblGrid>
      <w:tr w:rsidR="00F50D33" w14:paraId="0699C0BF" w14:textId="77777777" w:rsidTr="00F40CC3">
        <w:tc>
          <w:tcPr>
            <w:tcW w:w="4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C0BC" w14:textId="77777777" w:rsidR="00F50D33" w:rsidRDefault="00F50D33" w:rsidP="00F40CC3">
            <w:r>
              <w:t>Excellence and Financial Sustainability</w:t>
            </w:r>
          </w:p>
          <w:p w14:paraId="0699C0BD" w14:textId="77777777" w:rsidR="00F50D33" w:rsidRDefault="00F50D33" w:rsidP="00F40CC3"/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C0BE" w14:textId="77777777" w:rsidR="00F50D33" w:rsidRDefault="00F50D33" w:rsidP="00F40CC3">
            <w:pPr>
              <w:rPr>
                <w:highlight w:val="yellow"/>
              </w:rPr>
            </w:pPr>
            <w:r>
              <w:rPr>
                <w:rFonts w:cs="Arial"/>
                <w:szCs w:val="22"/>
              </w:rPr>
              <w:t>√</w:t>
            </w:r>
          </w:p>
        </w:tc>
      </w:tr>
      <w:tr w:rsidR="00F50D33" w14:paraId="0699C0C3" w14:textId="77777777" w:rsidTr="00F40CC3">
        <w:tc>
          <w:tcPr>
            <w:tcW w:w="4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C0C0" w14:textId="77777777" w:rsidR="00F50D33" w:rsidRDefault="00F50D33" w:rsidP="00F40CC3">
            <w:r>
              <w:t>Health and Wellbeing</w:t>
            </w:r>
          </w:p>
          <w:p w14:paraId="0699C0C1" w14:textId="77777777" w:rsidR="00F50D33" w:rsidRDefault="00F50D33" w:rsidP="00F40CC3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C0C2" w14:textId="77777777" w:rsidR="00F50D33" w:rsidRDefault="00F50D33" w:rsidP="00F40CC3">
            <w:pPr>
              <w:rPr>
                <w:highlight w:val="yellow"/>
              </w:rPr>
            </w:pPr>
          </w:p>
        </w:tc>
      </w:tr>
      <w:tr w:rsidR="00F50D33" w14:paraId="0699C0C7" w14:textId="77777777" w:rsidTr="00F40CC3">
        <w:tc>
          <w:tcPr>
            <w:tcW w:w="4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C0C4" w14:textId="77777777" w:rsidR="00F50D33" w:rsidRDefault="00F50D33" w:rsidP="00F40CC3">
            <w:r>
              <w:t>Place</w:t>
            </w:r>
          </w:p>
          <w:p w14:paraId="0699C0C5" w14:textId="77777777" w:rsidR="00F50D33" w:rsidRDefault="00F50D33" w:rsidP="00F40CC3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C0C6" w14:textId="77777777" w:rsidR="00F50D33" w:rsidRDefault="00F50D33" w:rsidP="00F40CC3"/>
        </w:tc>
      </w:tr>
    </w:tbl>
    <w:p w14:paraId="0699C0C8" w14:textId="77777777" w:rsidR="00F50D33" w:rsidRPr="008C133D" w:rsidRDefault="00F50D33" w:rsidP="00F50D33">
      <w:pPr>
        <w:rPr>
          <w:rFonts w:eastAsia="Calibri" w:cs="Arial"/>
          <w:szCs w:val="22"/>
          <w:lang w:eastAsia="en-US"/>
        </w:rPr>
      </w:pPr>
    </w:p>
    <w:p w14:paraId="0699C0C9" w14:textId="77777777" w:rsidR="00F50D33" w:rsidRDefault="00F50D33" w:rsidP="00F50D33">
      <w:pPr>
        <w:ind w:firstLine="720"/>
        <w:rPr>
          <w:rFonts w:ascii="Calibri" w:hAnsi="Calibri"/>
        </w:rPr>
      </w:pPr>
      <w:r>
        <w:t>Projects relating to People in the Corporate Plan:</w:t>
      </w:r>
    </w:p>
    <w:p w14:paraId="0699C0CA" w14:textId="77777777" w:rsidR="00F50D33" w:rsidRDefault="00F50D33" w:rsidP="00F50D33">
      <w:pPr>
        <w:ind w:firstLine="720"/>
      </w:pPr>
    </w:p>
    <w:tbl>
      <w:tblPr>
        <w:tblW w:w="5273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3"/>
        <w:gridCol w:w="850"/>
      </w:tblGrid>
      <w:tr w:rsidR="00F50D33" w14:paraId="0699C0CE" w14:textId="77777777" w:rsidTr="00F40CC3">
        <w:tc>
          <w:tcPr>
            <w:tcW w:w="4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C0CB" w14:textId="77777777" w:rsidR="00F50D33" w:rsidRDefault="00F50D33" w:rsidP="00F40CC3">
            <w:r>
              <w:t xml:space="preserve">People </w:t>
            </w:r>
          </w:p>
          <w:p w14:paraId="0699C0CC" w14:textId="77777777" w:rsidR="00F50D33" w:rsidRDefault="00F50D33" w:rsidP="00F40CC3"/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C0CD" w14:textId="77777777" w:rsidR="00F50D33" w:rsidRDefault="00F50D33" w:rsidP="00F40CC3"/>
        </w:tc>
      </w:tr>
    </w:tbl>
    <w:p w14:paraId="0699C0CF" w14:textId="77777777" w:rsidR="00F50D33" w:rsidRDefault="00F50D33" w:rsidP="002F5C5E">
      <w:pPr>
        <w:keepNext/>
        <w:ind w:left="360"/>
        <w:outlineLvl w:val="0"/>
        <w:rPr>
          <w:b/>
          <w:szCs w:val="22"/>
        </w:rPr>
      </w:pPr>
    </w:p>
    <w:p w14:paraId="0699C0D0" w14:textId="77777777" w:rsidR="00352AB7" w:rsidRPr="009C1143" w:rsidRDefault="00352AB7" w:rsidP="002F5C5E">
      <w:pPr>
        <w:rPr>
          <w:szCs w:val="22"/>
        </w:rPr>
      </w:pPr>
    </w:p>
    <w:p w14:paraId="0699C0D1" w14:textId="77777777" w:rsidR="002F5C5E" w:rsidRPr="009C1143" w:rsidRDefault="00352AB7" w:rsidP="002F5C5E">
      <w:pPr>
        <w:rPr>
          <w:b/>
          <w:szCs w:val="22"/>
        </w:rPr>
      </w:pPr>
      <w:r>
        <w:rPr>
          <w:b/>
          <w:szCs w:val="22"/>
        </w:rPr>
        <w:t>4</w:t>
      </w:r>
      <w:r w:rsidR="002F5C5E" w:rsidRPr="009C1143">
        <w:rPr>
          <w:b/>
          <w:szCs w:val="22"/>
        </w:rPr>
        <w:t>.   BACKGROUND TO THE REPORT</w:t>
      </w:r>
    </w:p>
    <w:p w14:paraId="0699C0D2" w14:textId="77777777" w:rsidR="00352AB7" w:rsidRDefault="00352AB7" w:rsidP="00352AB7">
      <w:pPr>
        <w:rPr>
          <w:color w:val="2E74B5"/>
          <w:szCs w:val="22"/>
        </w:rPr>
      </w:pPr>
    </w:p>
    <w:p w14:paraId="0699C0D3" w14:textId="77777777" w:rsidR="00946FC5" w:rsidRDefault="00352AB7" w:rsidP="00352AB7">
      <w:pPr>
        <w:ind w:left="426" w:hanging="426"/>
        <w:rPr>
          <w:szCs w:val="22"/>
        </w:rPr>
      </w:pPr>
      <w:r>
        <w:rPr>
          <w:szCs w:val="22"/>
        </w:rPr>
        <w:t xml:space="preserve">4.1  It is considered good practice for </w:t>
      </w:r>
      <w:r w:rsidR="00946FC5">
        <w:rPr>
          <w:szCs w:val="22"/>
        </w:rPr>
        <w:t xml:space="preserve">all </w:t>
      </w:r>
      <w:r>
        <w:rPr>
          <w:szCs w:val="22"/>
        </w:rPr>
        <w:t xml:space="preserve">Licensing </w:t>
      </w:r>
      <w:r w:rsidR="00946FC5">
        <w:rPr>
          <w:szCs w:val="22"/>
        </w:rPr>
        <w:t>Authoriti</w:t>
      </w:r>
      <w:r>
        <w:rPr>
          <w:szCs w:val="22"/>
        </w:rPr>
        <w:t>es to produce a</w:t>
      </w:r>
      <w:r w:rsidR="00946FC5">
        <w:rPr>
          <w:szCs w:val="22"/>
        </w:rPr>
        <w:t xml:space="preserve">n annual report </w:t>
      </w:r>
      <w:r>
        <w:rPr>
          <w:szCs w:val="22"/>
        </w:rPr>
        <w:t>setting out their achievements during the preceding 12 months</w:t>
      </w:r>
      <w:r w:rsidR="00F50D33">
        <w:rPr>
          <w:szCs w:val="22"/>
        </w:rPr>
        <w:t xml:space="preserve">. </w:t>
      </w:r>
      <w:r w:rsidR="00946FC5">
        <w:rPr>
          <w:szCs w:val="22"/>
        </w:rPr>
        <w:t xml:space="preserve">Such a document will </w:t>
      </w:r>
      <w:r>
        <w:rPr>
          <w:szCs w:val="22"/>
        </w:rPr>
        <w:t xml:space="preserve">serve </w:t>
      </w:r>
      <w:r w:rsidR="00946FC5">
        <w:rPr>
          <w:szCs w:val="22"/>
        </w:rPr>
        <w:t>the following purposes:</w:t>
      </w:r>
    </w:p>
    <w:p w14:paraId="0699C0D4" w14:textId="77777777" w:rsidR="00946FC5" w:rsidRDefault="00946FC5" w:rsidP="00352AB7">
      <w:pPr>
        <w:ind w:left="426" w:hanging="426"/>
        <w:rPr>
          <w:szCs w:val="22"/>
        </w:rPr>
      </w:pPr>
    </w:p>
    <w:p w14:paraId="0699C0D5" w14:textId="77777777" w:rsidR="00946FC5" w:rsidRDefault="00946FC5" w:rsidP="00946FC5">
      <w:pPr>
        <w:numPr>
          <w:ilvl w:val="0"/>
          <w:numId w:val="13"/>
        </w:numPr>
        <w:ind w:hanging="153"/>
        <w:rPr>
          <w:szCs w:val="22"/>
        </w:rPr>
      </w:pPr>
      <w:r>
        <w:rPr>
          <w:szCs w:val="22"/>
        </w:rPr>
        <w:t>it will act a</w:t>
      </w:r>
      <w:r w:rsidR="00352AB7">
        <w:rPr>
          <w:szCs w:val="22"/>
        </w:rPr>
        <w:t xml:space="preserve">s a record of </w:t>
      </w:r>
      <w:r>
        <w:rPr>
          <w:szCs w:val="22"/>
        </w:rPr>
        <w:t>a</w:t>
      </w:r>
      <w:r w:rsidR="00352AB7">
        <w:rPr>
          <w:szCs w:val="22"/>
        </w:rPr>
        <w:t>chieve</w:t>
      </w:r>
      <w:r>
        <w:rPr>
          <w:szCs w:val="22"/>
        </w:rPr>
        <w:t>ment, enabling members to take stock of their progress re-evaluate the work undertaken in the past 12 months; and</w:t>
      </w:r>
    </w:p>
    <w:p w14:paraId="0699C0D6" w14:textId="77777777" w:rsidR="00352AB7" w:rsidRDefault="00352AB7" w:rsidP="00946FC5">
      <w:pPr>
        <w:numPr>
          <w:ilvl w:val="0"/>
          <w:numId w:val="13"/>
        </w:numPr>
        <w:ind w:hanging="153"/>
        <w:rPr>
          <w:szCs w:val="22"/>
        </w:rPr>
      </w:pPr>
      <w:r>
        <w:rPr>
          <w:szCs w:val="22"/>
        </w:rPr>
        <w:lastRenderedPageBreak/>
        <w:t>given the importance of reassuring the public that persons, premises or vehicles are appropriately regulated</w:t>
      </w:r>
      <w:r w:rsidR="00946FC5">
        <w:rPr>
          <w:szCs w:val="22"/>
        </w:rPr>
        <w:t xml:space="preserve">, it will allow a Licensing Authority </w:t>
      </w:r>
      <w:r>
        <w:rPr>
          <w:szCs w:val="22"/>
        </w:rPr>
        <w:t xml:space="preserve">to promote </w:t>
      </w:r>
      <w:r w:rsidR="00946FC5">
        <w:rPr>
          <w:szCs w:val="22"/>
        </w:rPr>
        <w:t>its</w:t>
      </w:r>
      <w:r>
        <w:rPr>
          <w:szCs w:val="22"/>
        </w:rPr>
        <w:t xml:space="preserve"> work as widely as members consider beneficial.</w:t>
      </w:r>
    </w:p>
    <w:p w14:paraId="0699C0D7" w14:textId="77777777" w:rsidR="0021072F" w:rsidRDefault="0021072F" w:rsidP="00352AB7">
      <w:pPr>
        <w:ind w:left="426" w:hanging="426"/>
        <w:rPr>
          <w:szCs w:val="22"/>
        </w:rPr>
      </w:pPr>
    </w:p>
    <w:p w14:paraId="0699C0D8" w14:textId="77777777" w:rsidR="0021072F" w:rsidRDefault="0021072F" w:rsidP="00930625">
      <w:pPr>
        <w:shd w:val="clear" w:color="auto" w:fill="FFFFFF"/>
        <w:ind w:left="426" w:hanging="426"/>
        <w:rPr>
          <w:szCs w:val="22"/>
        </w:rPr>
      </w:pPr>
      <w:r>
        <w:rPr>
          <w:szCs w:val="22"/>
        </w:rPr>
        <w:t xml:space="preserve">4.2 The </w:t>
      </w:r>
      <w:r w:rsidR="005464D7">
        <w:rPr>
          <w:szCs w:val="22"/>
        </w:rPr>
        <w:t>General Licensing C</w:t>
      </w:r>
      <w:r>
        <w:rPr>
          <w:szCs w:val="22"/>
        </w:rPr>
        <w:t>ommittee produced an annual report for 2016/17 which was well-received by full Council when presented</w:t>
      </w:r>
      <w:r w:rsidR="005B3EAC">
        <w:rPr>
          <w:szCs w:val="22"/>
        </w:rPr>
        <w:t xml:space="preserve"> to it in </w:t>
      </w:r>
      <w:r w:rsidR="00EE21EB">
        <w:rPr>
          <w:szCs w:val="22"/>
        </w:rPr>
        <w:t>November 20</w:t>
      </w:r>
      <w:r w:rsidR="005B3EAC">
        <w:rPr>
          <w:szCs w:val="22"/>
        </w:rPr>
        <w:t xml:space="preserve">17. In view of this, it is proposed to once again present the annual report to full Council </w:t>
      </w:r>
      <w:r w:rsidR="005464D7">
        <w:rPr>
          <w:szCs w:val="22"/>
        </w:rPr>
        <w:t xml:space="preserve">at its meeting </w:t>
      </w:r>
      <w:r w:rsidR="007571AF">
        <w:rPr>
          <w:szCs w:val="22"/>
        </w:rPr>
        <w:t>on 17</w:t>
      </w:r>
      <w:r w:rsidR="00BA5C70">
        <w:rPr>
          <w:szCs w:val="22"/>
        </w:rPr>
        <w:t xml:space="preserve"> May 2018.  </w:t>
      </w:r>
      <w:r w:rsidR="005464D7" w:rsidRPr="005464D7">
        <w:rPr>
          <w:szCs w:val="22"/>
          <w:highlight w:val="yellow"/>
          <w:shd w:val="clear" w:color="auto" w:fill="FF0000"/>
        </w:rPr>
        <w:t xml:space="preserve"> </w:t>
      </w:r>
    </w:p>
    <w:p w14:paraId="0699C0D9" w14:textId="77777777" w:rsidR="007571AF" w:rsidRDefault="007571AF" w:rsidP="00F50D33">
      <w:pPr>
        <w:rPr>
          <w:i/>
          <w:color w:val="2E74B5"/>
          <w:szCs w:val="22"/>
        </w:rPr>
      </w:pPr>
    </w:p>
    <w:p w14:paraId="0699C0DA" w14:textId="77777777" w:rsidR="005B3EAC" w:rsidRDefault="005B3EAC" w:rsidP="005B3EAC">
      <w:pPr>
        <w:rPr>
          <w:b/>
          <w:szCs w:val="22"/>
        </w:rPr>
      </w:pPr>
      <w:r>
        <w:rPr>
          <w:b/>
          <w:szCs w:val="22"/>
        </w:rPr>
        <w:t xml:space="preserve">5.   ANNUAL REPORT 2017/18   </w:t>
      </w:r>
    </w:p>
    <w:p w14:paraId="0699C0DB" w14:textId="77777777" w:rsidR="005B3EAC" w:rsidRDefault="005B3EAC" w:rsidP="005B3EAC">
      <w:pPr>
        <w:ind w:firstLine="426"/>
        <w:rPr>
          <w:b/>
          <w:szCs w:val="22"/>
        </w:rPr>
      </w:pPr>
    </w:p>
    <w:p w14:paraId="0699C0DC" w14:textId="77777777" w:rsidR="00946FC5" w:rsidRDefault="007571AF" w:rsidP="005B3EAC">
      <w:pPr>
        <w:ind w:left="426" w:hanging="426"/>
        <w:rPr>
          <w:szCs w:val="22"/>
        </w:rPr>
      </w:pPr>
      <w:r>
        <w:rPr>
          <w:szCs w:val="22"/>
        </w:rPr>
        <w:t xml:space="preserve">5.1  The </w:t>
      </w:r>
      <w:r w:rsidR="005B3EAC">
        <w:rPr>
          <w:szCs w:val="22"/>
        </w:rPr>
        <w:t xml:space="preserve">Annual Report 2017/18 is attached to this report as Appendix </w:t>
      </w:r>
      <w:r w:rsidR="005464D7">
        <w:rPr>
          <w:szCs w:val="22"/>
        </w:rPr>
        <w:t>A</w:t>
      </w:r>
      <w:r w:rsidR="005B3EAC">
        <w:rPr>
          <w:szCs w:val="22"/>
        </w:rPr>
        <w:t xml:space="preserve">.  The draft report seeks to identify and document the good work which the General Licensing Committee has once again undertaken during the last 12 months.  It covers the </w:t>
      </w:r>
      <w:r w:rsidR="00946FC5">
        <w:rPr>
          <w:szCs w:val="22"/>
        </w:rPr>
        <w:t xml:space="preserve">traditional </w:t>
      </w:r>
      <w:r w:rsidR="005B3EAC">
        <w:rPr>
          <w:szCs w:val="22"/>
        </w:rPr>
        <w:t>areas of</w:t>
      </w:r>
      <w:r w:rsidR="00946FC5">
        <w:rPr>
          <w:szCs w:val="22"/>
        </w:rPr>
        <w:t>:</w:t>
      </w:r>
    </w:p>
    <w:p w14:paraId="0699C0DD" w14:textId="77777777" w:rsidR="00946FC5" w:rsidRDefault="00946FC5" w:rsidP="005B3EAC">
      <w:pPr>
        <w:ind w:left="426" w:hanging="426"/>
        <w:rPr>
          <w:szCs w:val="22"/>
        </w:rPr>
      </w:pPr>
    </w:p>
    <w:p w14:paraId="0699C0DE" w14:textId="77777777" w:rsidR="00946FC5" w:rsidRDefault="005B3EAC" w:rsidP="00946FC5">
      <w:pPr>
        <w:numPr>
          <w:ilvl w:val="0"/>
          <w:numId w:val="14"/>
        </w:numPr>
        <w:rPr>
          <w:szCs w:val="22"/>
        </w:rPr>
      </w:pPr>
      <w:r>
        <w:rPr>
          <w:szCs w:val="22"/>
        </w:rPr>
        <w:t>Hackney Carriage / Private Hire</w:t>
      </w:r>
      <w:r w:rsidR="00946FC5">
        <w:rPr>
          <w:szCs w:val="22"/>
        </w:rPr>
        <w:t xml:space="preserve"> / licensed operators</w:t>
      </w:r>
      <w:r>
        <w:rPr>
          <w:szCs w:val="22"/>
        </w:rPr>
        <w:t xml:space="preserve">; </w:t>
      </w:r>
    </w:p>
    <w:p w14:paraId="0699C0DF" w14:textId="77777777" w:rsidR="00946FC5" w:rsidRDefault="005B3EAC" w:rsidP="00946FC5">
      <w:pPr>
        <w:numPr>
          <w:ilvl w:val="0"/>
          <w:numId w:val="14"/>
        </w:numPr>
        <w:rPr>
          <w:szCs w:val="22"/>
        </w:rPr>
      </w:pPr>
      <w:r>
        <w:rPr>
          <w:szCs w:val="22"/>
        </w:rPr>
        <w:t xml:space="preserve">Licensing Act 2003 (liquor); </w:t>
      </w:r>
    </w:p>
    <w:p w14:paraId="0699C0E0" w14:textId="77777777" w:rsidR="00946FC5" w:rsidRDefault="005B3EAC" w:rsidP="00946FC5">
      <w:pPr>
        <w:numPr>
          <w:ilvl w:val="0"/>
          <w:numId w:val="14"/>
        </w:numPr>
        <w:rPr>
          <w:szCs w:val="22"/>
        </w:rPr>
      </w:pPr>
      <w:r>
        <w:rPr>
          <w:szCs w:val="22"/>
        </w:rPr>
        <w:t xml:space="preserve">Gambling; and </w:t>
      </w:r>
    </w:p>
    <w:p w14:paraId="0699C0E1" w14:textId="77777777" w:rsidR="00946FC5" w:rsidRDefault="005B3EAC" w:rsidP="00946FC5">
      <w:pPr>
        <w:numPr>
          <w:ilvl w:val="0"/>
          <w:numId w:val="14"/>
        </w:numPr>
        <w:rPr>
          <w:szCs w:val="22"/>
        </w:rPr>
      </w:pPr>
      <w:r>
        <w:rPr>
          <w:szCs w:val="22"/>
        </w:rPr>
        <w:t xml:space="preserve">Scrap Metal.  </w:t>
      </w:r>
    </w:p>
    <w:p w14:paraId="0699C0E2" w14:textId="77777777" w:rsidR="00946FC5" w:rsidRDefault="00946FC5" w:rsidP="00946FC5">
      <w:pPr>
        <w:ind w:left="780"/>
        <w:rPr>
          <w:szCs w:val="22"/>
        </w:rPr>
      </w:pPr>
    </w:p>
    <w:p w14:paraId="0699C0E3" w14:textId="77777777" w:rsidR="005B3EAC" w:rsidRDefault="00946FC5" w:rsidP="00946FC5">
      <w:pPr>
        <w:numPr>
          <w:ilvl w:val="1"/>
          <w:numId w:val="15"/>
        </w:numPr>
        <w:rPr>
          <w:szCs w:val="22"/>
        </w:rPr>
      </w:pPr>
      <w:r>
        <w:rPr>
          <w:szCs w:val="22"/>
        </w:rPr>
        <w:t xml:space="preserve"> </w:t>
      </w:r>
      <w:r w:rsidR="005B3EAC">
        <w:rPr>
          <w:szCs w:val="22"/>
        </w:rPr>
        <w:t xml:space="preserve">However, </w:t>
      </w:r>
      <w:r>
        <w:rPr>
          <w:szCs w:val="22"/>
        </w:rPr>
        <w:t>this year’s report also makes reference to a relatively-untouched area of work for the Committee, na</w:t>
      </w:r>
      <w:r w:rsidR="007571AF">
        <w:rPr>
          <w:szCs w:val="22"/>
        </w:rPr>
        <w:t xml:space="preserve">mely residential mobile homes. </w:t>
      </w:r>
      <w:r>
        <w:rPr>
          <w:szCs w:val="22"/>
        </w:rPr>
        <w:t xml:space="preserve">Notwithstanding this, </w:t>
      </w:r>
      <w:r w:rsidR="005B3EAC">
        <w:rPr>
          <w:szCs w:val="22"/>
        </w:rPr>
        <w:t>given the exceptional circumstances of 2016/17, it is appropriate (and understandable) that the draft Report again concentrates on work around taxi licensing.</w:t>
      </w:r>
    </w:p>
    <w:p w14:paraId="0699C0E4" w14:textId="77777777" w:rsidR="005B3EAC" w:rsidRDefault="005B3EAC" w:rsidP="005B3EAC">
      <w:pPr>
        <w:ind w:left="426" w:hanging="426"/>
        <w:rPr>
          <w:szCs w:val="22"/>
        </w:rPr>
      </w:pPr>
    </w:p>
    <w:p w14:paraId="0699C0E5" w14:textId="77777777" w:rsidR="005B3EAC" w:rsidRDefault="005B3EAC" w:rsidP="005B3EAC">
      <w:pPr>
        <w:ind w:left="426" w:hanging="426"/>
        <w:rPr>
          <w:szCs w:val="22"/>
        </w:rPr>
      </w:pPr>
      <w:r>
        <w:rPr>
          <w:szCs w:val="22"/>
        </w:rPr>
        <w:t>5.</w:t>
      </w:r>
      <w:r w:rsidR="00946FC5">
        <w:rPr>
          <w:szCs w:val="22"/>
        </w:rPr>
        <w:t>3</w:t>
      </w:r>
      <w:r>
        <w:rPr>
          <w:szCs w:val="22"/>
        </w:rPr>
        <w:t xml:space="preserve">  The Report sets out the Committee’s workload during the year, but in particular it emphasises the considerable steps taken by the Committee to modernise its </w:t>
      </w:r>
      <w:r w:rsidR="00946FC5">
        <w:rPr>
          <w:szCs w:val="22"/>
        </w:rPr>
        <w:t xml:space="preserve">governance </w:t>
      </w:r>
      <w:r>
        <w:rPr>
          <w:szCs w:val="22"/>
        </w:rPr>
        <w:t>processes and procedures.  As such</w:t>
      </w:r>
      <w:r w:rsidR="00946FC5">
        <w:rPr>
          <w:szCs w:val="22"/>
        </w:rPr>
        <w:t>,</w:t>
      </w:r>
      <w:r>
        <w:rPr>
          <w:szCs w:val="22"/>
        </w:rPr>
        <w:t xml:space="preserve"> it aims to present a balanced view of the Committee’s workload, which </w:t>
      </w:r>
      <w:r w:rsidR="00901D24">
        <w:rPr>
          <w:szCs w:val="22"/>
        </w:rPr>
        <w:t xml:space="preserve">has </w:t>
      </w:r>
      <w:r>
        <w:rPr>
          <w:szCs w:val="22"/>
        </w:rPr>
        <w:t>look</w:t>
      </w:r>
      <w:r w:rsidR="00901D24">
        <w:rPr>
          <w:szCs w:val="22"/>
        </w:rPr>
        <w:t>ed</w:t>
      </w:r>
      <w:r>
        <w:rPr>
          <w:szCs w:val="22"/>
        </w:rPr>
        <w:t xml:space="preserve"> both backwards (outputs and cases heard) as well as forwards (</w:t>
      </w:r>
      <w:r w:rsidR="00946FC5">
        <w:rPr>
          <w:szCs w:val="22"/>
        </w:rPr>
        <w:t>p</w:t>
      </w:r>
      <w:r>
        <w:rPr>
          <w:szCs w:val="22"/>
        </w:rPr>
        <w:t>olicy aspirations).</w:t>
      </w:r>
    </w:p>
    <w:p w14:paraId="0699C0E6" w14:textId="77777777" w:rsidR="00901D24" w:rsidRDefault="00901D24" w:rsidP="005B3EAC">
      <w:pPr>
        <w:ind w:left="426" w:hanging="426"/>
        <w:rPr>
          <w:szCs w:val="22"/>
        </w:rPr>
      </w:pPr>
    </w:p>
    <w:p w14:paraId="0699C0E7" w14:textId="77777777" w:rsidR="002F5C5E" w:rsidRPr="009C1143" w:rsidRDefault="002F5C5E" w:rsidP="002F5C5E">
      <w:pPr>
        <w:rPr>
          <w:b/>
          <w:szCs w:val="22"/>
        </w:rPr>
      </w:pPr>
    </w:p>
    <w:p w14:paraId="0699C0E8" w14:textId="77777777" w:rsidR="002F5C5E" w:rsidRPr="009C1143" w:rsidRDefault="005B3EAC" w:rsidP="002F5C5E">
      <w:pPr>
        <w:rPr>
          <w:b/>
          <w:szCs w:val="22"/>
        </w:rPr>
      </w:pPr>
      <w:r>
        <w:rPr>
          <w:b/>
          <w:szCs w:val="22"/>
        </w:rPr>
        <w:t>6</w:t>
      </w:r>
      <w:r w:rsidR="002F5C5E" w:rsidRPr="009C1143">
        <w:rPr>
          <w:b/>
          <w:szCs w:val="22"/>
        </w:rPr>
        <w:t>.   WIDER IMPLICATIONS AND BACKGROUND DOCUMENTATION</w:t>
      </w:r>
    </w:p>
    <w:p w14:paraId="0699C0E9" w14:textId="77777777" w:rsidR="002F5C5E" w:rsidRPr="009C1143" w:rsidRDefault="002F5C5E" w:rsidP="002F5C5E">
      <w:pPr>
        <w:ind w:firstLine="360"/>
        <w:rPr>
          <w:i/>
          <w:color w:val="2E74B5"/>
          <w:szCs w:val="22"/>
        </w:rPr>
      </w:pPr>
    </w:p>
    <w:p w14:paraId="0699C0EA" w14:textId="77777777" w:rsidR="003C36EB" w:rsidRPr="009C1143" w:rsidRDefault="005B3EAC" w:rsidP="003C36EB">
      <w:pPr>
        <w:ind w:firstLine="360"/>
        <w:rPr>
          <w:b/>
          <w:szCs w:val="22"/>
        </w:rPr>
      </w:pPr>
      <w:r>
        <w:rPr>
          <w:b/>
          <w:szCs w:val="22"/>
        </w:rPr>
        <w:t>6</w:t>
      </w:r>
      <w:r w:rsidR="003C36EB" w:rsidRPr="009C1143">
        <w:rPr>
          <w:b/>
          <w:szCs w:val="22"/>
        </w:rPr>
        <w:t>.1 Comments of the Statutory Finance Officer</w:t>
      </w:r>
    </w:p>
    <w:p w14:paraId="0699C0EB" w14:textId="77777777" w:rsidR="00644D17" w:rsidRDefault="00644D17" w:rsidP="003C36EB">
      <w:pPr>
        <w:ind w:firstLine="360"/>
        <w:rPr>
          <w:b/>
          <w:szCs w:val="22"/>
        </w:rPr>
      </w:pPr>
    </w:p>
    <w:p w14:paraId="0699C0EC" w14:textId="77777777" w:rsidR="003C36EB" w:rsidRPr="00644D17" w:rsidRDefault="00644D17" w:rsidP="003C36EB">
      <w:pPr>
        <w:ind w:firstLine="360"/>
        <w:rPr>
          <w:szCs w:val="22"/>
        </w:rPr>
      </w:pPr>
      <w:r w:rsidRPr="00644D17">
        <w:rPr>
          <w:szCs w:val="22"/>
        </w:rPr>
        <w:t>There are no financial implications arising from the recommendations in this report.</w:t>
      </w:r>
    </w:p>
    <w:p w14:paraId="0699C0ED" w14:textId="77777777" w:rsidR="003C36EB" w:rsidRPr="009C1143" w:rsidRDefault="003C36EB" w:rsidP="003C36EB">
      <w:pPr>
        <w:ind w:firstLine="360"/>
        <w:rPr>
          <w:b/>
          <w:szCs w:val="22"/>
        </w:rPr>
      </w:pPr>
    </w:p>
    <w:p w14:paraId="0699C0EE" w14:textId="77777777" w:rsidR="003C36EB" w:rsidRPr="009C1143" w:rsidRDefault="005B3EAC" w:rsidP="003C36EB">
      <w:pPr>
        <w:ind w:firstLine="360"/>
        <w:rPr>
          <w:b/>
          <w:szCs w:val="22"/>
        </w:rPr>
      </w:pPr>
      <w:r>
        <w:rPr>
          <w:b/>
          <w:szCs w:val="22"/>
        </w:rPr>
        <w:t>6</w:t>
      </w:r>
      <w:r w:rsidR="003C36EB" w:rsidRPr="009C1143">
        <w:rPr>
          <w:b/>
          <w:szCs w:val="22"/>
        </w:rPr>
        <w:t xml:space="preserve">.2 Comments of the </w:t>
      </w:r>
      <w:r w:rsidR="00D37BAE">
        <w:rPr>
          <w:b/>
          <w:szCs w:val="22"/>
        </w:rPr>
        <w:t>Monitoring Officer</w:t>
      </w:r>
    </w:p>
    <w:p w14:paraId="0699C0EF" w14:textId="77777777" w:rsidR="00BD4508" w:rsidRDefault="00BD4508" w:rsidP="003C36EB">
      <w:pPr>
        <w:ind w:firstLine="360"/>
        <w:rPr>
          <w:b/>
          <w:szCs w:val="22"/>
        </w:rPr>
      </w:pPr>
    </w:p>
    <w:p w14:paraId="0699C0F0" w14:textId="77777777" w:rsidR="003C36EB" w:rsidRPr="00BD4508" w:rsidRDefault="00BD4508" w:rsidP="003C36EB">
      <w:pPr>
        <w:ind w:firstLine="360"/>
        <w:rPr>
          <w:szCs w:val="22"/>
        </w:rPr>
      </w:pPr>
      <w:r w:rsidRPr="00BD4508">
        <w:rPr>
          <w:szCs w:val="22"/>
        </w:rPr>
        <w:t>There are no legal implications in this report.</w:t>
      </w:r>
    </w:p>
    <w:p w14:paraId="0699C0F1" w14:textId="77777777" w:rsidR="003C36EB" w:rsidRPr="009C1143" w:rsidRDefault="003C36EB" w:rsidP="003C36EB">
      <w:pPr>
        <w:ind w:firstLine="360"/>
        <w:rPr>
          <w:b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2F5C5E" w:rsidRPr="009C1143" w14:paraId="0699C10C" w14:textId="77777777" w:rsidTr="009C1143">
        <w:trPr>
          <w:trHeight w:val="334"/>
        </w:trPr>
        <w:tc>
          <w:tcPr>
            <w:tcW w:w="3544" w:type="dxa"/>
            <w:shd w:val="clear" w:color="auto" w:fill="auto"/>
          </w:tcPr>
          <w:p w14:paraId="0699C0F2" w14:textId="77777777" w:rsidR="002F5C5E" w:rsidRPr="009C1143" w:rsidRDefault="002F5C5E" w:rsidP="00AC4A99">
            <w:pPr>
              <w:rPr>
                <w:b/>
                <w:szCs w:val="22"/>
              </w:rPr>
            </w:pPr>
            <w:r w:rsidRPr="009C1143">
              <w:rPr>
                <w:b/>
                <w:szCs w:val="22"/>
              </w:rPr>
              <w:t xml:space="preserve">Other implications: </w:t>
            </w:r>
          </w:p>
          <w:p w14:paraId="0699C0F3" w14:textId="77777777" w:rsidR="002F5C5E" w:rsidRPr="009C1143" w:rsidRDefault="002F5C5E" w:rsidP="00AC4A99">
            <w:pPr>
              <w:rPr>
                <w:b/>
                <w:szCs w:val="22"/>
              </w:rPr>
            </w:pPr>
          </w:p>
          <w:p w14:paraId="0699C0F4" w14:textId="77777777" w:rsidR="002F5C5E" w:rsidRPr="009C1143" w:rsidRDefault="002F5C5E" w:rsidP="0047741D">
            <w:pPr>
              <w:numPr>
                <w:ilvl w:val="0"/>
                <w:numId w:val="11"/>
              </w:numPr>
              <w:ind w:left="360"/>
              <w:rPr>
                <w:b/>
                <w:szCs w:val="22"/>
              </w:rPr>
            </w:pPr>
            <w:r w:rsidRPr="009C1143">
              <w:rPr>
                <w:b/>
                <w:szCs w:val="22"/>
              </w:rPr>
              <w:t>Risk</w:t>
            </w:r>
          </w:p>
          <w:p w14:paraId="0699C0F5" w14:textId="77777777" w:rsidR="002F5C5E" w:rsidRPr="009C1143" w:rsidRDefault="002F5C5E" w:rsidP="0047741D">
            <w:pPr>
              <w:rPr>
                <w:b/>
                <w:szCs w:val="22"/>
              </w:rPr>
            </w:pPr>
          </w:p>
          <w:p w14:paraId="0699C0F6" w14:textId="77777777" w:rsidR="002F5C5E" w:rsidRPr="009C1143" w:rsidRDefault="002F5C5E" w:rsidP="0047741D">
            <w:pPr>
              <w:numPr>
                <w:ilvl w:val="0"/>
                <w:numId w:val="11"/>
              </w:numPr>
              <w:ind w:left="360"/>
              <w:rPr>
                <w:b/>
                <w:szCs w:val="22"/>
              </w:rPr>
            </w:pPr>
            <w:r w:rsidRPr="009C1143">
              <w:rPr>
                <w:b/>
                <w:szCs w:val="22"/>
              </w:rPr>
              <w:t>Equality</w:t>
            </w:r>
            <w:r w:rsidR="0047741D">
              <w:rPr>
                <w:b/>
                <w:szCs w:val="22"/>
              </w:rPr>
              <w:t xml:space="preserve"> &amp; Diversity</w:t>
            </w:r>
          </w:p>
          <w:p w14:paraId="0699C0F7" w14:textId="77777777" w:rsidR="003C36EB" w:rsidRPr="009C1143" w:rsidRDefault="003C36EB" w:rsidP="0047741D">
            <w:pPr>
              <w:rPr>
                <w:b/>
                <w:szCs w:val="22"/>
              </w:rPr>
            </w:pPr>
          </w:p>
          <w:p w14:paraId="0699C0F8" w14:textId="77777777" w:rsidR="003C36EB" w:rsidRDefault="00D37BAE" w:rsidP="0047741D">
            <w:pPr>
              <w:numPr>
                <w:ilvl w:val="0"/>
                <w:numId w:val="11"/>
              </w:numPr>
              <w:ind w:left="360"/>
              <w:rPr>
                <w:b/>
                <w:szCs w:val="22"/>
              </w:rPr>
            </w:pPr>
            <w:r>
              <w:rPr>
                <w:b/>
                <w:szCs w:val="22"/>
              </w:rPr>
              <w:t>HR</w:t>
            </w:r>
            <w:r w:rsidR="0047741D">
              <w:rPr>
                <w:b/>
                <w:szCs w:val="22"/>
              </w:rPr>
              <w:t xml:space="preserve"> &amp; Organisational Development </w:t>
            </w:r>
          </w:p>
          <w:p w14:paraId="0699C0F9" w14:textId="77777777" w:rsidR="0047741D" w:rsidRDefault="0047741D" w:rsidP="0047741D">
            <w:pPr>
              <w:ind w:left="360"/>
              <w:rPr>
                <w:b/>
                <w:szCs w:val="22"/>
              </w:rPr>
            </w:pPr>
          </w:p>
          <w:p w14:paraId="0699C0FA" w14:textId="77777777" w:rsidR="0047741D" w:rsidRDefault="0047741D" w:rsidP="0047741D">
            <w:pPr>
              <w:numPr>
                <w:ilvl w:val="0"/>
                <w:numId w:val="11"/>
              </w:numPr>
              <w:ind w:left="360"/>
              <w:rPr>
                <w:b/>
                <w:szCs w:val="22"/>
              </w:rPr>
            </w:pPr>
            <w:r>
              <w:rPr>
                <w:b/>
                <w:szCs w:val="22"/>
              </w:rPr>
              <w:t>Property &amp; Asset Management</w:t>
            </w:r>
          </w:p>
          <w:p w14:paraId="0699C0FB" w14:textId="77777777" w:rsidR="0047741D" w:rsidRDefault="0047741D" w:rsidP="0047741D">
            <w:pPr>
              <w:ind w:left="360"/>
              <w:rPr>
                <w:b/>
                <w:szCs w:val="22"/>
              </w:rPr>
            </w:pPr>
          </w:p>
          <w:p w14:paraId="0699C0FC" w14:textId="77777777" w:rsidR="0047741D" w:rsidRPr="009C1143" w:rsidRDefault="0047741D" w:rsidP="0047741D">
            <w:pPr>
              <w:numPr>
                <w:ilvl w:val="0"/>
                <w:numId w:val="11"/>
              </w:numPr>
              <w:ind w:left="360"/>
              <w:rPr>
                <w:b/>
                <w:szCs w:val="22"/>
              </w:rPr>
            </w:pPr>
            <w:r>
              <w:rPr>
                <w:b/>
                <w:szCs w:val="22"/>
              </w:rPr>
              <w:t>ICT / Technology</w:t>
            </w:r>
          </w:p>
          <w:p w14:paraId="0699C0FD" w14:textId="77777777" w:rsidR="002F5C5E" w:rsidRPr="009C1143" w:rsidRDefault="002F5C5E" w:rsidP="00AC4A99">
            <w:pPr>
              <w:rPr>
                <w:b/>
                <w:szCs w:val="22"/>
              </w:rPr>
            </w:pPr>
          </w:p>
          <w:p w14:paraId="0699C0FE" w14:textId="77777777" w:rsidR="002F5C5E" w:rsidRPr="009C1143" w:rsidRDefault="002F5C5E" w:rsidP="005B3EAC">
            <w:pPr>
              <w:rPr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0699C0FF" w14:textId="77777777" w:rsidR="002F5C5E" w:rsidRDefault="002F5C5E" w:rsidP="00AC4A99">
            <w:pPr>
              <w:rPr>
                <w:szCs w:val="22"/>
              </w:rPr>
            </w:pPr>
          </w:p>
          <w:p w14:paraId="0699C100" w14:textId="77777777" w:rsidR="005B3EAC" w:rsidRDefault="005B3EAC" w:rsidP="00AC4A99">
            <w:pPr>
              <w:rPr>
                <w:szCs w:val="22"/>
              </w:rPr>
            </w:pPr>
          </w:p>
          <w:p w14:paraId="0699C101" w14:textId="77777777" w:rsidR="005B3EAC" w:rsidRDefault="005B3EAC" w:rsidP="005B3EAC">
            <w:pPr>
              <w:rPr>
                <w:szCs w:val="22"/>
              </w:rPr>
            </w:pPr>
            <w:r>
              <w:rPr>
                <w:szCs w:val="22"/>
              </w:rPr>
              <w:t>None</w:t>
            </w:r>
          </w:p>
          <w:p w14:paraId="0699C102" w14:textId="77777777" w:rsidR="005B3EAC" w:rsidRDefault="005B3EAC" w:rsidP="005B3EAC">
            <w:pPr>
              <w:rPr>
                <w:szCs w:val="22"/>
              </w:rPr>
            </w:pPr>
          </w:p>
          <w:p w14:paraId="0699C103" w14:textId="77777777" w:rsidR="005B3EAC" w:rsidRDefault="005B3EAC" w:rsidP="005B3EAC">
            <w:pPr>
              <w:rPr>
                <w:szCs w:val="22"/>
              </w:rPr>
            </w:pPr>
            <w:r>
              <w:rPr>
                <w:szCs w:val="22"/>
              </w:rPr>
              <w:t>None</w:t>
            </w:r>
          </w:p>
          <w:p w14:paraId="0699C104" w14:textId="77777777" w:rsidR="005B3EAC" w:rsidRDefault="005B3EAC" w:rsidP="005B3EAC">
            <w:pPr>
              <w:rPr>
                <w:szCs w:val="22"/>
              </w:rPr>
            </w:pPr>
          </w:p>
          <w:p w14:paraId="0699C105" w14:textId="77777777" w:rsidR="005B3EAC" w:rsidRDefault="005B3EAC" w:rsidP="005B3EAC">
            <w:pPr>
              <w:rPr>
                <w:szCs w:val="22"/>
              </w:rPr>
            </w:pPr>
            <w:r>
              <w:rPr>
                <w:szCs w:val="22"/>
              </w:rPr>
              <w:t>None</w:t>
            </w:r>
          </w:p>
          <w:p w14:paraId="0699C106" w14:textId="77777777" w:rsidR="005B3EAC" w:rsidRDefault="005B3EAC" w:rsidP="005B3EAC">
            <w:pPr>
              <w:rPr>
                <w:szCs w:val="22"/>
              </w:rPr>
            </w:pPr>
          </w:p>
          <w:p w14:paraId="0699C107" w14:textId="77777777" w:rsidR="005B3EAC" w:rsidRDefault="005B3EAC" w:rsidP="005B3EAC">
            <w:pPr>
              <w:rPr>
                <w:szCs w:val="22"/>
              </w:rPr>
            </w:pPr>
          </w:p>
          <w:p w14:paraId="0699C108" w14:textId="77777777" w:rsidR="005B3EAC" w:rsidRDefault="005B3EAC" w:rsidP="005B3EAC">
            <w:pPr>
              <w:rPr>
                <w:szCs w:val="22"/>
              </w:rPr>
            </w:pPr>
            <w:r>
              <w:rPr>
                <w:szCs w:val="22"/>
              </w:rPr>
              <w:t>None</w:t>
            </w:r>
          </w:p>
          <w:p w14:paraId="0699C109" w14:textId="77777777" w:rsidR="005B3EAC" w:rsidRDefault="005B3EAC" w:rsidP="005B3EAC">
            <w:pPr>
              <w:rPr>
                <w:szCs w:val="22"/>
              </w:rPr>
            </w:pPr>
          </w:p>
          <w:p w14:paraId="0699C10A" w14:textId="77777777" w:rsidR="005B3EAC" w:rsidRDefault="005B3EAC" w:rsidP="005B3EAC">
            <w:pPr>
              <w:rPr>
                <w:szCs w:val="22"/>
              </w:rPr>
            </w:pPr>
          </w:p>
          <w:p w14:paraId="0699C10B" w14:textId="77777777" w:rsidR="005B3EAC" w:rsidRPr="009C1143" w:rsidRDefault="005B3EAC" w:rsidP="005B3EAC">
            <w:pPr>
              <w:rPr>
                <w:szCs w:val="22"/>
              </w:rPr>
            </w:pPr>
            <w:r>
              <w:rPr>
                <w:szCs w:val="22"/>
              </w:rPr>
              <w:t>None</w:t>
            </w:r>
          </w:p>
        </w:tc>
      </w:tr>
    </w:tbl>
    <w:p w14:paraId="0699C10D" w14:textId="77777777" w:rsidR="00644D17" w:rsidRPr="009C1143" w:rsidRDefault="00644D17" w:rsidP="002F5C5E">
      <w:pPr>
        <w:rPr>
          <w:i/>
          <w:color w:val="2E74B5"/>
          <w:szCs w:val="22"/>
        </w:rPr>
      </w:pPr>
    </w:p>
    <w:p w14:paraId="0699C10E" w14:textId="77777777" w:rsidR="002F5C5E" w:rsidRPr="009C1143" w:rsidRDefault="002F5C5E" w:rsidP="002F5C5E">
      <w:pPr>
        <w:rPr>
          <w:szCs w:val="22"/>
        </w:rPr>
      </w:pPr>
      <w:r w:rsidRPr="009C1143">
        <w:rPr>
          <w:i/>
          <w:color w:val="2E74B5"/>
          <w:szCs w:val="22"/>
        </w:rPr>
        <w:lastRenderedPageBreak/>
        <w:t xml:space="preserve"> </w:t>
      </w:r>
      <w:r w:rsidRPr="009C1143">
        <w:rPr>
          <w:szCs w:val="22"/>
        </w:rPr>
        <w:tab/>
      </w:r>
    </w:p>
    <w:p w14:paraId="0699C10F" w14:textId="77777777" w:rsidR="002F5C5E" w:rsidRPr="009C1143" w:rsidRDefault="005B3EAC" w:rsidP="002F5C5E">
      <w:pPr>
        <w:rPr>
          <w:szCs w:val="22"/>
        </w:rPr>
      </w:pPr>
      <w:r>
        <w:rPr>
          <w:b/>
          <w:szCs w:val="22"/>
        </w:rPr>
        <w:t>7</w:t>
      </w:r>
      <w:r w:rsidR="002F5C5E" w:rsidRPr="009C1143">
        <w:rPr>
          <w:b/>
          <w:szCs w:val="22"/>
        </w:rPr>
        <w:t xml:space="preserve">.  BACKGROUND DOCUMENTS </w:t>
      </w:r>
    </w:p>
    <w:p w14:paraId="0699C110" w14:textId="77777777" w:rsidR="00D37BAE" w:rsidRDefault="00D37BAE" w:rsidP="002F5C5E">
      <w:pPr>
        <w:tabs>
          <w:tab w:val="left" w:pos="2839"/>
        </w:tabs>
        <w:rPr>
          <w:szCs w:val="22"/>
        </w:rPr>
      </w:pPr>
    </w:p>
    <w:p w14:paraId="0699C111" w14:textId="77777777" w:rsidR="002F5C5E" w:rsidRPr="003A2919" w:rsidRDefault="002F5C5E" w:rsidP="00D37BAE">
      <w:pPr>
        <w:tabs>
          <w:tab w:val="left" w:pos="2839"/>
        </w:tabs>
        <w:ind w:left="720"/>
        <w:rPr>
          <w:szCs w:val="22"/>
        </w:rPr>
      </w:pPr>
      <w:r w:rsidRPr="003A2919">
        <w:rPr>
          <w:szCs w:val="22"/>
        </w:rPr>
        <w:t xml:space="preserve">Appendix </w:t>
      </w:r>
      <w:r w:rsidR="00901D24">
        <w:rPr>
          <w:szCs w:val="22"/>
        </w:rPr>
        <w:t>A</w:t>
      </w:r>
      <w:r w:rsidR="005B3EAC">
        <w:rPr>
          <w:szCs w:val="22"/>
        </w:rPr>
        <w:t xml:space="preserve"> – draft annual report 2017/18</w:t>
      </w:r>
    </w:p>
    <w:p w14:paraId="0699C112" w14:textId="77777777" w:rsidR="001C5E49" w:rsidRPr="005464D7" w:rsidRDefault="005464D7" w:rsidP="001C5E49">
      <w:pPr>
        <w:tabs>
          <w:tab w:val="left" w:pos="2839"/>
        </w:tabs>
        <w:ind w:left="426" w:hanging="426"/>
        <w:rPr>
          <w:rFonts w:cs="Arial"/>
        </w:rPr>
      </w:pPr>
      <w:r>
        <w:rPr>
          <w:rFonts w:cs="Arial"/>
          <w:color w:val="0070C0"/>
        </w:rPr>
        <w:t xml:space="preserve">            </w:t>
      </w:r>
      <w:r w:rsidRPr="005464D7">
        <w:rPr>
          <w:rFonts w:cs="Arial"/>
        </w:rPr>
        <w:t>Sub- appendi</w:t>
      </w:r>
      <w:r w:rsidR="00E7235F">
        <w:rPr>
          <w:rFonts w:cs="Arial"/>
        </w:rPr>
        <w:t>x</w:t>
      </w:r>
      <w:r w:rsidRPr="005464D7">
        <w:rPr>
          <w:rFonts w:cs="Arial"/>
        </w:rPr>
        <w:t xml:space="preserve"> to Appendix A:</w:t>
      </w:r>
    </w:p>
    <w:p w14:paraId="0699C113" w14:textId="77777777" w:rsidR="005464D7" w:rsidRPr="005464D7" w:rsidRDefault="005464D7" w:rsidP="005464D7">
      <w:pPr>
        <w:tabs>
          <w:tab w:val="left" w:pos="2839"/>
        </w:tabs>
        <w:ind w:left="1134" w:hanging="426"/>
        <w:rPr>
          <w:rFonts w:cs="Arial"/>
        </w:rPr>
      </w:pPr>
      <w:r w:rsidRPr="005464D7">
        <w:rPr>
          <w:rFonts w:cs="Arial"/>
        </w:rPr>
        <w:t xml:space="preserve">Appendix 1 </w:t>
      </w:r>
      <w:r w:rsidR="00BA5C70">
        <w:rPr>
          <w:rFonts w:cs="Arial"/>
        </w:rPr>
        <w:t>–</w:t>
      </w:r>
      <w:r w:rsidRPr="005464D7">
        <w:rPr>
          <w:rFonts w:cs="Arial"/>
        </w:rPr>
        <w:t xml:space="preserve"> </w:t>
      </w:r>
      <w:r w:rsidR="00BA5C70">
        <w:rPr>
          <w:rFonts w:cs="Arial"/>
        </w:rPr>
        <w:t xml:space="preserve">summary of GLC hearings </w:t>
      </w:r>
    </w:p>
    <w:p w14:paraId="0699C114" w14:textId="77777777" w:rsidR="005B3EAC" w:rsidRDefault="005B3EAC" w:rsidP="005B3EAC">
      <w:pPr>
        <w:tabs>
          <w:tab w:val="left" w:pos="2839"/>
        </w:tabs>
        <w:ind w:left="720"/>
        <w:rPr>
          <w:b/>
          <w:szCs w:val="22"/>
        </w:rPr>
      </w:pPr>
    </w:p>
    <w:p w14:paraId="0699C115" w14:textId="77777777" w:rsidR="007571AF" w:rsidRPr="00433E03" w:rsidRDefault="007571AF" w:rsidP="005B3EAC">
      <w:pPr>
        <w:tabs>
          <w:tab w:val="left" w:pos="2839"/>
        </w:tabs>
        <w:ind w:left="720"/>
        <w:rPr>
          <w:b/>
          <w:szCs w:val="22"/>
        </w:rPr>
      </w:pPr>
    </w:p>
    <w:p w14:paraId="0699C116" w14:textId="77777777" w:rsidR="00922763" w:rsidRDefault="00922763" w:rsidP="00922763">
      <w:pPr>
        <w:tabs>
          <w:tab w:val="left" w:pos="2839"/>
        </w:tabs>
        <w:ind w:left="426" w:hanging="426"/>
        <w:rPr>
          <w:rFonts w:cs="Arial"/>
        </w:rPr>
      </w:pPr>
      <w:r>
        <w:rPr>
          <w:rFonts w:cs="Arial"/>
        </w:rPr>
        <w:t>ELT</w:t>
      </w:r>
      <w:r w:rsidR="005B3EAC" w:rsidRPr="00433E03">
        <w:rPr>
          <w:rFonts w:cs="Arial"/>
        </w:rPr>
        <w:t xml:space="preserve"> Member’s Name:  </w:t>
      </w:r>
      <w:r>
        <w:rPr>
          <w:rFonts w:cs="Arial"/>
        </w:rPr>
        <w:t>Tracy Boustead</w:t>
      </w:r>
    </w:p>
    <w:p w14:paraId="0699C117" w14:textId="77777777" w:rsidR="005B3EAC" w:rsidRPr="00433E03" w:rsidRDefault="005B3EAC" w:rsidP="00922763">
      <w:pPr>
        <w:tabs>
          <w:tab w:val="left" w:pos="2839"/>
        </w:tabs>
        <w:ind w:left="426" w:hanging="426"/>
        <w:rPr>
          <w:rFonts w:cs="Arial"/>
        </w:rPr>
      </w:pPr>
      <w:r w:rsidRPr="00433E03">
        <w:rPr>
          <w:rFonts w:cs="Arial"/>
        </w:rPr>
        <w:t xml:space="preserve">Job Title:                       </w:t>
      </w:r>
      <w:r w:rsidR="00922763">
        <w:rPr>
          <w:rFonts w:cs="Arial"/>
        </w:rPr>
        <w:t>Specialist Consultant</w:t>
      </w:r>
    </w:p>
    <w:p w14:paraId="0699C118" w14:textId="77777777" w:rsidR="005B3EAC" w:rsidRPr="00433E03" w:rsidRDefault="005B3EAC" w:rsidP="005B3EAC">
      <w:pPr>
        <w:tabs>
          <w:tab w:val="left" w:pos="2839"/>
        </w:tabs>
        <w:ind w:left="426" w:hanging="426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4"/>
        <w:gridCol w:w="1555"/>
        <w:gridCol w:w="2351"/>
      </w:tblGrid>
      <w:tr w:rsidR="005B3EAC" w:rsidRPr="00433E03" w14:paraId="0699C11C" w14:textId="77777777" w:rsidTr="003261FA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C119" w14:textId="77777777" w:rsidR="005B3EAC" w:rsidRPr="00433E03" w:rsidRDefault="005B3EAC" w:rsidP="003261FA">
            <w:pPr>
              <w:rPr>
                <w:rFonts w:cs="Arial"/>
              </w:rPr>
            </w:pPr>
            <w:r w:rsidRPr="00433E03">
              <w:rPr>
                <w:rFonts w:cs="Arial"/>
              </w:rPr>
              <w:t>Report Author: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C11A" w14:textId="77777777" w:rsidR="005B3EAC" w:rsidRPr="00433E03" w:rsidRDefault="005B3EAC" w:rsidP="003261FA">
            <w:pPr>
              <w:rPr>
                <w:rFonts w:cs="Arial"/>
              </w:rPr>
            </w:pPr>
            <w:r w:rsidRPr="00433E03">
              <w:rPr>
                <w:rFonts w:cs="Arial"/>
              </w:rPr>
              <w:t>Telephone: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C11B" w14:textId="77777777" w:rsidR="005B3EAC" w:rsidRPr="00433E03" w:rsidRDefault="005B3EAC" w:rsidP="003261FA">
            <w:pPr>
              <w:rPr>
                <w:rFonts w:cs="Arial"/>
              </w:rPr>
            </w:pPr>
            <w:r w:rsidRPr="00433E03">
              <w:rPr>
                <w:rFonts w:cs="Arial"/>
              </w:rPr>
              <w:t>Date:</w:t>
            </w:r>
          </w:p>
        </w:tc>
      </w:tr>
      <w:tr w:rsidR="005B3EAC" w:rsidRPr="00433E03" w14:paraId="0699C124" w14:textId="77777777" w:rsidTr="003261FA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C11D" w14:textId="77777777" w:rsidR="005B3EAC" w:rsidRPr="00433E03" w:rsidRDefault="005B3EAC" w:rsidP="003261FA">
            <w:pPr>
              <w:rPr>
                <w:rFonts w:cs="Arial"/>
              </w:rPr>
            </w:pPr>
          </w:p>
          <w:p w14:paraId="0699C11E" w14:textId="132400F4" w:rsidR="005B3EAC" w:rsidRPr="00433E03" w:rsidRDefault="00D84E6A" w:rsidP="003261FA">
            <w:pPr>
              <w:ind w:left="-539" w:firstLine="539"/>
              <w:rPr>
                <w:rFonts w:cs="Arial"/>
              </w:rPr>
            </w:pPr>
            <w:r>
              <w:rPr>
                <w:rFonts w:cs="Arial"/>
              </w:rPr>
              <w:t>Interim Licensing Manager</w:t>
            </w:r>
          </w:p>
          <w:p w14:paraId="0699C11F" w14:textId="77777777" w:rsidR="005B3EAC" w:rsidRPr="00433E03" w:rsidRDefault="005B3EAC" w:rsidP="003261FA">
            <w:pPr>
              <w:ind w:left="-539" w:firstLine="539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C121" w14:textId="24ACF66A" w:rsidR="005B3EAC" w:rsidRPr="00433E03" w:rsidRDefault="00D84E6A" w:rsidP="00922763">
            <w:pPr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01772 625041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C122" w14:textId="77777777" w:rsidR="005B3EAC" w:rsidRPr="00433E03" w:rsidRDefault="005B3EAC" w:rsidP="003261FA">
            <w:pPr>
              <w:rPr>
                <w:rFonts w:cs="Arial"/>
              </w:rPr>
            </w:pPr>
          </w:p>
          <w:p w14:paraId="0699C123" w14:textId="77777777" w:rsidR="005B3EAC" w:rsidRPr="00433E03" w:rsidRDefault="007571AF" w:rsidP="003261FA">
            <w:pPr>
              <w:rPr>
                <w:rFonts w:cs="Arial"/>
              </w:rPr>
            </w:pPr>
            <w:r>
              <w:rPr>
                <w:rFonts w:cs="Arial"/>
              </w:rPr>
              <w:t>8 May 2018</w:t>
            </w:r>
          </w:p>
        </w:tc>
      </w:tr>
    </w:tbl>
    <w:p w14:paraId="0699C125" w14:textId="77777777" w:rsidR="005B3EAC" w:rsidRPr="00433E03" w:rsidRDefault="005B3EAC" w:rsidP="005B3EAC">
      <w:pPr>
        <w:rPr>
          <w:rFonts w:cs="Arial"/>
        </w:rPr>
      </w:pPr>
    </w:p>
    <w:sectPr w:rsidR="005B3EAC" w:rsidRPr="00433E03" w:rsidSect="00E971A2">
      <w:footerReference w:type="default" r:id="rId8"/>
      <w:type w:val="continuous"/>
      <w:pgSz w:w="11906" w:h="16838" w:code="9"/>
      <w:pgMar w:top="1134" w:right="1134" w:bottom="96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9C12A" w14:textId="77777777" w:rsidR="00033D4D" w:rsidRDefault="00033D4D">
      <w:r>
        <w:separator/>
      </w:r>
    </w:p>
  </w:endnote>
  <w:endnote w:type="continuationSeparator" w:id="0">
    <w:p w14:paraId="0699C12B" w14:textId="77777777" w:rsidR="00033D4D" w:rsidRDefault="0003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C12C" w14:textId="77777777" w:rsidR="00FD7B65" w:rsidRPr="00FD7B65" w:rsidRDefault="00FD7B65">
    <w:pPr>
      <w:pStyle w:val="Footer"/>
      <w:jc w:val="center"/>
      <w:rPr>
        <w:sz w:val="24"/>
      </w:rPr>
    </w:pPr>
    <w:r w:rsidRPr="00FD7B65">
      <w:rPr>
        <w:sz w:val="24"/>
      </w:rPr>
      <w:fldChar w:fldCharType="begin"/>
    </w:r>
    <w:r w:rsidRPr="00FD7B65">
      <w:rPr>
        <w:sz w:val="24"/>
      </w:rPr>
      <w:instrText xml:space="preserve"> PAGE   \* MERGEFORMAT </w:instrText>
    </w:r>
    <w:r w:rsidRPr="00FD7B65">
      <w:rPr>
        <w:sz w:val="24"/>
      </w:rPr>
      <w:fldChar w:fldCharType="separate"/>
    </w:r>
    <w:r w:rsidR="00D84E6A">
      <w:rPr>
        <w:noProof/>
        <w:sz w:val="24"/>
      </w:rPr>
      <w:t>3</w:t>
    </w:r>
    <w:r w:rsidRPr="00FD7B65">
      <w:rPr>
        <w:noProof/>
        <w:sz w:val="24"/>
      </w:rPr>
      <w:fldChar w:fldCharType="end"/>
    </w:r>
  </w:p>
  <w:p w14:paraId="0699C12D" w14:textId="77777777" w:rsidR="00FD7B65" w:rsidRDefault="00FD7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9C128" w14:textId="77777777" w:rsidR="00033D4D" w:rsidRDefault="00033D4D">
      <w:r>
        <w:separator/>
      </w:r>
    </w:p>
  </w:footnote>
  <w:footnote w:type="continuationSeparator" w:id="0">
    <w:p w14:paraId="0699C129" w14:textId="77777777" w:rsidR="00033D4D" w:rsidRDefault="00033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7D2"/>
    <w:multiLevelType w:val="hybridMultilevel"/>
    <w:tmpl w:val="14BA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21BA"/>
    <w:multiLevelType w:val="hybridMultilevel"/>
    <w:tmpl w:val="421811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1A26"/>
    <w:multiLevelType w:val="hybridMultilevel"/>
    <w:tmpl w:val="A9B88F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DA2EF2"/>
    <w:multiLevelType w:val="multilevel"/>
    <w:tmpl w:val="76563E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A6231B"/>
    <w:multiLevelType w:val="hybridMultilevel"/>
    <w:tmpl w:val="0010B0A0"/>
    <w:lvl w:ilvl="0" w:tplc="E33E5CF6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85F9F"/>
    <w:multiLevelType w:val="hybridMultilevel"/>
    <w:tmpl w:val="0F268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453A"/>
    <w:multiLevelType w:val="multilevel"/>
    <w:tmpl w:val="226CF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6B67A8A"/>
    <w:multiLevelType w:val="hybridMultilevel"/>
    <w:tmpl w:val="C1FEE3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B45DD"/>
    <w:multiLevelType w:val="hybridMultilevel"/>
    <w:tmpl w:val="CCA2F1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3327005"/>
    <w:multiLevelType w:val="multilevel"/>
    <w:tmpl w:val="9F040C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2EA7385"/>
    <w:multiLevelType w:val="hybridMultilevel"/>
    <w:tmpl w:val="26F4CAD4"/>
    <w:lvl w:ilvl="0" w:tplc="E4B6C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4C6DE7"/>
    <w:multiLevelType w:val="hybridMultilevel"/>
    <w:tmpl w:val="3CC270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D6B"/>
    <w:multiLevelType w:val="hybridMultilevel"/>
    <w:tmpl w:val="F6081804"/>
    <w:lvl w:ilvl="0" w:tplc="8EF4B89A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E5625E"/>
    <w:multiLevelType w:val="hybridMultilevel"/>
    <w:tmpl w:val="06766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BB"/>
    <w:rsid w:val="00002742"/>
    <w:rsid w:val="00016DD3"/>
    <w:rsid w:val="00025DED"/>
    <w:rsid w:val="00033D4D"/>
    <w:rsid w:val="000E10FE"/>
    <w:rsid w:val="000F2C8A"/>
    <w:rsid w:val="001544DD"/>
    <w:rsid w:val="00184E1D"/>
    <w:rsid w:val="001C5E49"/>
    <w:rsid w:val="0021072F"/>
    <w:rsid w:val="002221BD"/>
    <w:rsid w:val="0025591B"/>
    <w:rsid w:val="002820A5"/>
    <w:rsid w:val="002E0A90"/>
    <w:rsid w:val="002E4FF4"/>
    <w:rsid w:val="002F5C5E"/>
    <w:rsid w:val="003261FA"/>
    <w:rsid w:val="00342AB1"/>
    <w:rsid w:val="00345C71"/>
    <w:rsid w:val="00352AB7"/>
    <w:rsid w:val="00360459"/>
    <w:rsid w:val="00386AAD"/>
    <w:rsid w:val="003902A2"/>
    <w:rsid w:val="003A1B3F"/>
    <w:rsid w:val="003A23D3"/>
    <w:rsid w:val="003A2919"/>
    <w:rsid w:val="003B1E6D"/>
    <w:rsid w:val="003C36EB"/>
    <w:rsid w:val="003E33E6"/>
    <w:rsid w:val="003F5603"/>
    <w:rsid w:val="00405D4A"/>
    <w:rsid w:val="00406CCA"/>
    <w:rsid w:val="004218EA"/>
    <w:rsid w:val="00442C46"/>
    <w:rsid w:val="00474DA8"/>
    <w:rsid w:val="0047741D"/>
    <w:rsid w:val="004A45D4"/>
    <w:rsid w:val="004B257B"/>
    <w:rsid w:val="004D7260"/>
    <w:rsid w:val="004F23B3"/>
    <w:rsid w:val="005041BB"/>
    <w:rsid w:val="00533525"/>
    <w:rsid w:val="005464D7"/>
    <w:rsid w:val="00547120"/>
    <w:rsid w:val="00547481"/>
    <w:rsid w:val="00576A82"/>
    <w:rsid w:val="005A26AD"/>
    <w:rsid w:val="005B0C36"/>
    <w:rsid w:val="005B3EAC"/>
    <w:rsid w:val="005D4F59"/>
    <w:rsid w:val="0060374B"/>
    <w:rsid w:val="00630F86"/>
    <w:rsid w:val="00633396"/>
    <w:rsid w:val="00644D17"/>
    <w:rsid w:val="00645A0B"/>
    <w:rsid w:val="006555E6"/>
    <w:rsid w:val="006636FF"/>
    <w:rsid w:val="006879CA"/>
    <w:rsid w:val="006B645E"/>
    <w:rsid w:val="006B7116"/>
    <w:rsid w:val="006C04C1"/>
    <w:rsid w:val="006C209A"/>
    <w:rsid w:val="006E09FB"/>
    <w:rsid w:val="006F2214"/>
    <w:rsid w:val="006F76A3"/>
    <w:rsid w:val="00707E99"/>
    <w:rsid w:val="00712E3F"/>
    <w:rsid w:val="007571AF"/>
    <w:rsid w:val="00831CFE"/>
    <w:rsid w:val="00893AD2"/>
    <w:rsid w:val="008A2F6B"/>
    <w:rsid w:val="008A42E3"/>
    <w:rsid w:val="008A77AB"/>
    <w:rsid w:val="008B41C5"/>
    <w:rsid w:val="008C3B1A"/>
    <w:rsid w:val="008D623F"/>
    <w:rsid w:val="008F4B91"/>
    <w:rsid w:val="00901D24"/>
    <w:rsid w:val="0090542C"/>
    <w:rsid w:val="00922763"/>
    <w:rsid w:val="00930625"/>
    <w:rsid w:val="009350CB"/>
    <w:rsid w:val="00946FC5"/>
    <w:rsid w:val="009538AE"/>
    <w:rsid w:val="00956C2A"/>
    <w:rsid w:val="00980267"/>
    <w:rsid w:val="00983CD5"/>
    <w:rsid w:val="00992E79"/>
    <w:rsid w:val="009A714A"/>
    <w:rsid w:val="009C1143"/>
    <w:rsid w:val="009E48E0"/>
    <w:rsid w:val="00A1406A"/>
    <w:rsid w:val="00A22D02"/>
    <w:rsid w:val="00A30426"/>
    <w:rsid w:val="00A31840"/>
    <w:rsid w:val="00A4702E"/>
    <w:rsid w:val="00A50754"/>
    <w:rsid w:val="00A76482"/>
    <w:rsid w:val="00AB528A"/>
    <w:rsid w:val="00AC4A99"/>
    <w:rsid w:val="00B05FE8"/>
    <w:rsid w:val="00B1788B"/>
    <w:rsid w:val="00B443DD"/>
    <w:rsid w:val="00B51DB8"/>
    <w:rsid w:val="00B62D79"/>
    <w:rsid w:val="00B70B91"/>
    <w:rsid w:val="00B716F5"/>
    <w:rsid w:val="00B72A06"/>
    <w:rsid w:val="00B766C4"/>
    <w:rsid w:val="00BA2606"/>
    <w:rsid w:val="00BA5C70"/>
    <w:rsid w:val="00BC6635"/>
    <w:rsid w:val="00BD4508"/>
    <w:rsid w:val="00C022F9"/>
    <w:rsid w:val="00C209E3"/>
    <w:rsid w:val="00C30128"/>
    <w:rsid w:val="00C52450"/>
    <w:rsid w:val="00C64ED1"/>
    <w:rsid w:val="00C66BAA"/>
    <w:rsid w:val="00CB32DF"/>
    <w:rsid w:val="00CB3EE5"/>
    <w:rsid w:val="00CC3246"/>
    <w:rsid w:val="00CE3DA1"/>
    <w:rsid w:val="00CE4482"/>
    <w:rsid w:val="00CF6B60"/>
    <w:rsid w:val="00D03328"/>
    <w:rsid w:val="00D10F91"/>
    <w:rsid w:val="00D36638"/>
    <w:rsid w:val="00D368B4"/>
    <w:rsid w:val="00D37BAE"/>
    <w:rsid w:val="00D772AB"/>
    <w:rsid w:val="00D84E6A"/>
    <w:rsid w:val="00D90A00"/>
    <w:rsid w:val="00D91845"/>
    <w:rsid w:val="00D9371C"/>
    <w:rsid w:val="00DB3FD0"/>
    <w:rsid w:val="00DE5E12"/>
    <w:rsid w:val="00E2196F"/>
    <w:rsid w:val="00E2276E"/>
    <w:rsid w:val="00E41950"/>
    <w:rsid w:val="00E569CB"/>
    <w:rsid w:val="00E577A2"/>
    <w:rsid w:val="00E60A53"/>
    <w:rsid w:val="00E7235F"/>
    <w:rsid w:val="00E733A5"/>
    <w:rsid w:val="00E753EC"/>
    <w:rsid w:val="00E84459"/>
    <w:rsid w:val="00E971A2"/>
    <w:rsid w:val="00EB2D32"/>
    <w:rsid w:val="00EB7C94"/>
    <w:rsid w:val="00ED257A"/>
    <w:rsid w:val="00EE21EB"/>
    <w:rsid w:val="00F3057A"/>
    <w:rsid w:val="00F30E9C"/>
    <w:rsid w:val="00F50D33"/>
    <w:rsid w:val="00F55E4D"/>
    <w:rsid w:val="00F61752"/>
    <w:rsid w:val="00F67F95"/>
    <w:rsid w:val="00FB3CDD"/>
    <w:rsid w:val="00FD7B65"/>
    <w:rsid w:val="00FF0A38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699C093"/>
  <w15:chartTrackingRefBased/>
  <w15:docId w15:val="{124CD41B-22C3-4DEE-BF2B-6F3586D4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B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7B6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2F5C5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2F5C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ffney\AppData\Local\Microsoft\Windows\Temporary%20Internet%20Files\Content.Outlook\A471OO5J\Cabinet%20Worksh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Cabinet Workshop Template</Template>
  <TotalTime>1</TotalTime>
  <Pages>3</Pages>
  <Words>533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</vt:lpstr>
    </vt:vector>
  </TitlesOfParts>
  <Company>South Ribble Borough Council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</dc:title>
  <dc:subject/>
  <dc:creator>GX0620</dc:creator>
  <cp:keywords/>
  <cp:lastModifiedBy>Scambler, Dianne</cp:lastModifiedBy>
  <cp:revision>3</cp:revision>
  <cp:lastPrinted>2017-09-07T13:55:00Z</cp:lastPrinted>
  <dcterms:created xsi:type="dcterms:W3CDTF">2018-05-09T10:04:00Z</dcterms:created>
  <dcterms:modified xsi:type="dcterms:W3CDTF">2018-05-09T11:16:00Z</dcterms:modified>
</cp:coreProperties>
</file>